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модели обучения математике</w:t>
            </w:r>
          </w:p>
          <w:p>
            <w:pPr>
              <w:jc w:val="center"/>
              <w:spacing w:after="0" w:line="240" w:lineRule="auto"/>
              <w:rPr>
                <w:sz w:val="32"/>
                <w:szCs w:val="32"/>
              </w:rPr>
            </w:pPr>
            <w:r>
              <w:rPr>
                <w:rFonts w:ascii="Times New Roman" w:hAnsi="Times New Roman" w:cs="Times New Roman"/>
                <w:color w:val="#000000"/>
                <w:sz w:val="32"/>
                <w:szCs w:val="32"/>
              </w:rPr>
              <w:t> Б1.В.02.ДВ.02.01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модели обучения математике»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Б1.В.02.ДВ.02.01 «Современные модели обучения математике».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модели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Б1.В.02.ДВ.02.01 «Современные модели обучения математике»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p>
            <w:pPr>
              <w:jc w:val="center"/>
              <w:spacing w:after="0" w:line="240" w:lineRule="auto"/>
              <w:rPr>
                <w:sz w:val="22"/>
                <w:szCs w:val="22"/>
              </w:rPr>
            </w:pPr>
            <w:r>
              <w:rPr>
                <w:rFonts w:ascii="Times New Roman" w:hAnsi="Times New Roman" w:cs="Times New Roman"/>
                <w:color w:val="#000000"/>
                <w:sz w:val="22"/>
                <w:szCs w:val="22"/>
              </w:rPr>
              <w:t> Преподавание в классах с углубленным изучением математики</w:t>
            </w:r>
          </w:p>
          <w:p>
            <w:pPr>
              <w:jc w:val="center"/>
              <w:spacing w:after="0" w:line="240" w:lineRule="auto"/>
              <w:rPr>
                <w:sz w:val="22"/>
                <w:szCs w:val="22"/>
              </w:rPr>
            </w:pPr>
            <w:r>
              <w:rPr>
                <w:rFonts w:ascii="Times New Roman" w:hAnsi="Times New Roman" w:cs="Times New Roman"/>
                <w:color w:val="#000000"/>
                <w:sz w:val="22"/>
                <w:szCs w:val="22"/>
              </w:rPr>
              <w:t> Теория чисел</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содержания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формирования матенматических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решения задч в разных моделях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содержания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формирования матенматических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решения задч в разных моделях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содержания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формирования матенматических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решения задч в разных моделях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507.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математического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моделей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содержания математического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формирования матенматических понятий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решения задч в разных моделях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математического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моделей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содержания математического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формирования матенматических понятий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решения задч в разных моделях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модели обучения математике» / Романова ТатьянаНиколаевна.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игр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https://urait.ru/bcode/490360</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Психодидактика</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учебника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Гельфман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Холодная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https://urait.ru/bcode/474157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Судоплатов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https://urait.ru/bcode/491344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колледжей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техникумов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Баврин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СМО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https://urait.ru/bcode/496865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2024-2025_ФГОС3++2024_Бак-ОФО-ПО(МО)(24)_plx_Современные модели обучения математике</dc:title>
  <dc:creator>FastReport.NET</dc:creator>
</cp:coreProperties>
</file>